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77" w:rsidRPr="007A4777" w:rsidRDefault="007A4777" w:rsidP="007A4777">
      <w:pPr>
        <w:pStyle w:val="Ttulo1"/>
        <w:spacing w:line="360" w:lineRule="auto"/>
        <w:rPr>
          <w:rFonts w:ascii="Rawline" w:hAnsi="Rawline"/>
          <w:sz w:val="22"/>
          <w:u w:val="single"/>
        </w:rPr>
      </w:pPr>
      <w:r w:rsidRPr="007A4777">
        <w:rPr>
          <w:rFonts w:ascii="Rawline" w:hAnsi="Rawline"/>
          <w:sz w:val="22"/>
          <w:u w:val="single"/>
        </w:rPr>
        <w:t>EDITAL Nº 002/2025 – CMDCA/MUTUNÓPOLIS-GO</w:t>
      </w:r>
    </w:p>
    <w:p w:rsidR="007A4777" w:rsidRPr="007A4777" w:rsidRDefault="007A4777" w:rsidP="007A4777">
      <w:pPr>
        <w:spacing w:line="360" w:lineRule="auto"/>
        <w:jc w:val="center"/>
        <w:rPr>
          <w:rFonts w:ascii="Rawline" w:hAnsi="Rawline"/>
          <w:b/>
          <w:color w:val="auto"/>
          <w:sz w:val="22"/>
          <w:u w:val="single"/>
        </w:rPr>
      </w:pPr>
      <w:r w:rsidRPr="007A4777">
        <w:rPr>
          <w:rFonts w:ascii="Rawline" w:hAnsi="Rawline"/>
          <w:b/>
          <w:color w:val="auto"/>
          <w:sz w:val="22"/>
          <w:u w:val="single"/>
        </w:rPr>
        <w:t>PRORROGAÇÃO DO PRAZO DE INSCRIÇÕES E ALTERAÇÃO DO CRONOGRAMA</w:t>
      </w:r>
    </w:p>
    <w:p w:rsidR="007A4777" w:rsidRPr="007A4777" w:rsidRDefault="007A4777" w:rsidP="007A4777">
      <w:pPr>
        <w:spacing w:line="360" w:lineRule="auto"/>
        <w:rPr>
          <w:rFonts w:ascii="Rawline" w:hAnsi="Rawline"/>
          <w:color w:val="auto"/>
          <w:sz w:val="22"/>
        </w:rPr>
      </w:pPr>
      <w:r w:rsidRPr="007A4777">
        <w:rPr>
          <w:rFonts w:ascii="Rawline" w:hAnsi="Rawline"/>
          <w:color w:val="auto"/>
          <w:sz w:val="22"/>
        </w:rPr>
        <w:t xml:space="preserve">O Conselho Municipal dos Direitos da Criança e do Adolescente de Mutunópolis – GO (CMDCA), no uso de suas atribuições legais e regimentais, com fundamento na Lei Municipal nº 975/2022, Lei nº 1.001/2023, Lei Federal nº 8.069/90 (ECA) e Resolução nº 231/2022 do CONANDA, torna pública a </w:t>
      </w:r>
      <w:r w:rsidRPr="007A4777">
        <w:rPr>
          <w:rFonts w:ascii="Rawline" w:hAnsi="Rawline"/>
          <w:b/>
          <w:color w:val="auto"/>
          <w:sz w:val="22"/>
          <w:u w:val="single"/>
        </w:rPr>
        <w:t xml:space="preserve">PRORROGAÇÃO DO PRAZO DE INSCRIÇÕES </w:t>
      </w:r>
      <w:r w:rsidRPr="007A4777">
        <w:rPr>
          <w:rFonts w:ascii="Rawline" w:hAnsi="Rawline"/>
          <w:color w:val="auto"/>
          <w:sz w:val="22"/>
        </w:rPr>
        <w:t xml:space="preserve">e a </w:t>
      </w:r>
      <w:r w:rsidRPr="007A4777">
        <w:rPr>
          <w:rFonts w:ascii="Rawline" w:hAnsi="Rawline"/>
          <w:b/>
          <w:color w:val="auto"/>
          <w:sz w:val="22"/>
          <w:u w:val="single"/>
        </w:rPr>
        <w:t>ALTERAÇÃO DO CRONOGRAMA</w:t>
      </w:r>
      <w:r w:rsidRPr="007A4777">
        <w:rPr>
          <w:rFonts w:ascii="Rawline" w:hAnsi="Rawline"/>
          <w:color w:val="auto"/>
          <w:sz w:val="22"/>
        </w:rPr>
        <w:t xml:space="preserve"> do Edital nº 001/2025 – Eleição Suplementar para Conselheiros Tutelares – Gestão 2026/2027, conforme segue:</w:t>
      </w:r>
    </w:p>
    <w:p w:rsidR="007A4777" w:rsidRPr="007A4777" w:rsidRDefault="007A4777" w:rsidP="007A4777">
      <w:pPr>
        <w:pStyle w:val="Ttulo2"/>
        <w:spacing w:line="360" w:lineRule="auto"/>
        <w:rPr>
          <w:rFonts w:ascii="Rawline" w:hAnsi="Rawline"/>
          <w:color w:val="auto"/>
          <w:sz w:val="22"/>
          <w:szCs w:val="22"/>
          <w:u w:val="single"/>
        </w:rPr>
      </w:pPr>
      <w:r w:rsidRPr="007A4777">
        <w:rPr>
          <w:rFonts w:ascii="Rawline" w:hAnsi="Rawline"/>
          <w:color w:val="auto"/>
          <w:sz w:val="22"/>
          <w:szCs w:val="22"/>
          <w:u w:val="single"/>
        </w:rPr>
        <w:t>1. DA PRORROGAÇÃO DAS INSCRIÇÕES</w:t>
      </w:r>
    </w:p>
    <w:p w:rsidR="007A4777" w:rsidRPr="007A4777" w:rsidRDefault="007A4777" w:rsidP="007A4777">
      <w:pPr>
        <w:spacing w:line="360" w:lineRule="auto"/>
        <w:rPr>
          <w:rFonts w:ascii="Rawline" w:hAnsi="Rawline"/>
          <w:color w:val="auto"/>
          <w:sz w:val="22"/>
        </w:rPr>
      </w:pPr>
      <w:r w:rsidRPr="007A4777">
        <w:rPr>
          <w:rFonts w:ascii="Rawline" w:hAnsi="Rawline"/>
          <w:color w:val="auto"/>
          <w:sz w:val="22"/>
        </w:rPr>
        <w:t>Fica prorrogado o prazo de inscrições dos candidatos ao processo de escolha suplementar de Conselheiros Tutelares, que anteriormente ocorreria de 06/10/2025 a 07/11/2025, passando</w:t>
      </w:r>
      <w:r w:rsidRPr="007A4777">
        <w:rPr>
          <w:rFonts w:ascii="Rawline" w:hAnsi="Rawline"/>
          <w:color w:val="auto"/>
          <w:sz w:val="22"/>
        </w:rPr>
        <w:t xml:space="preserve"> a vigorar o seguinte período:</w:t>
      </w:r>
    </w:p>
    <w:p w:rsidR="007A4777" w:rsidRPr="007A4777" w:rsidRDefault="007A4777" w:rsidP="007A4777">
      <w:pPr>
        <w:spacing w:line="360" w:lineRule="auto"/>
        <w:ind w:left="1134"/>
        <w:rPr>
          <w:rFonts w:ascii="Rawline" w:hAnsi="Rawline"/>
          <w:color w:val="auto"/>
          <w:sz w:val="22"/>
        </w:rPr>
      </w:pPr>
      <w:r w:rsidRPr="007A4777">
        <w:rPr>
          <w:rFonts w:ascii="Rawline" w:hAnsi="Rawline"/>
          <w:b/>
          <w:color w:val="auto"/>
          <w:sz w:val="22"/>
          <w:u w:val="single"/>
        </w:rPr>
        <w:t>Período de Inscriç</w:t>
      </w:r>
      <w:r w:rsidRPr="007A4777">
        <w:rPr>
          <w:rFonts w:ascii="Rawline" w:hAnsi="Rawline"/>
          <w:b/>
          <w:color w:val="auto"/>
          <w:sz w:val="22"/>
          <w:u w:val="single"/>
        </w:rPr>
        <w:t>ões</w:t>
      </w:r>
      <w:r w:rsidRPr="007A4777">
        <w:rPr>
          <w:rFonts w:ascii="Rawline" w:hAnsi="Rawline"/>
          <w:color w:val="auto"/>
          <w:sz w:val="22"/>
        </w:rPr>
        <w:t>: de 06/10/2025 a 28/11/2025</w:t>
      </w:r>
    </w:p>
    <w:p w:rsidR="007A4777" w:rsidRPr="007A4777" w:rsidRDefault="007A4777" w:rsidP="007A4777">
      <w:pPr>
        <w:spacing w:line="360" w:lineRule="auto"/>
        <w:ind w:left="1134"/>
        <w:rPr>
          <w:rFonts w:ascii="Rawline" w:hAnsi="Rawline"/>
          <w:color w:val="auto"/>
          <w:sz w:val="22"/>
        </w:rPr>
      </w:pPr>
      <w:r w:rsidRPr="007A4777">
        <w:rPr>
          <w:rFonts w:ascii="Rawline" w:hAnsi="Rawline"/>
          <w:b/>
          <w:color w:val="auto"/>
          <w:sz w:val="22"/>
          <w:u w:val="single"/>
        </w:rPr>
        <w:t>Horário</w:t>
      </w:r>
      <w:r w:rsidRPr="007A4777">
        <w:rPr>
          <w:rFonts w:ascii="Rawline" w:hAnsi="Rawline"/>
          <w:color w:val="auto"/>
          <w:sz w:val="22"/>
        </w:rPr>
        <w:t>: das 08h0</w:t>
      </w:r>
      <w:r w:rsidRPr="007A4777">
        <w:rPr>
          <w:rFonts w:ascii="Rawline" w:hAnsi="Rawline"/>
          <w:color w:val="auto"/>
          <w:sz w:val="22"/>
        </w:rPr>
        <w:t>0 às 11h00 e das 13h00 às 17h00</w:t>
      </w:r>
    </w:p>
    <w:p w:rsidR="007A4777" w:rsidRPr="007A4777" w:rsidRDefault="007A4777" w:rsidP="007A4777">
      <w:pPr>
        <w:spacing w:line="360" w:lineRule="auto"/>
        <w:ind w:left="1134"/>
        <w:rPr>
          <w:rFonts w:ascii="Rawline" w:hAnsi="Rawline"/>
          <w:color w:val="auto"/>
          <w:sz w:val="22"/>
        </w:rPr>
      </w:pPr>
      <w:r w:rsidRPr="007A4777">
        <w:rPr>
          <w:rFonts w:ascii="Rawline" w:hAnsi="Rawline"/>
          <w:b/>
          <w:color w:val="auto"/>
          <w:sz w:val="22"/>
          <w:u w:val="single"/>
        </w:rPr>
        <w:t>Local:</w:t>
      </w:r>
      <w:r w:rsidRPr="007A4777">
        <w:rPr>
          <w:rFonts w:ascii="Rawline" w:hAnsi="Rawline"/>
          <w:color w:val="auto"/>
          <w:sz w:val="22"/>
        </w:rPr>
        <w:t xml:space="preserve"> Secretaria Municipal de Assistência Social, situada à Rua </w:t>
      </w:r>
      <w:proofErr w:type="gramStart"/>
      <w:r w:rsidRPr="007A4777">
        <w:rPr>
          <w:rFonts w:ascii="Rawline" w:hAnsi="Rawline"/>
          <w:color w:val="auto"/>
          <w:sz w:val="22"/>
        </w:rPr>
        <w:t>7</w:t>
      </w:r>
      <w:proofErr w:type="gramEnd"/>
      <w:r w:rsidRPr="007A4777">
        <w:rPr>
          <w:rFonts w:ascii="Rawline" w:hAnsi="Rawline"/>
          <w:color w:val="auto"/>
          <w:sz w:val="22"/>
        </w:rPr>
        <w:t xml:space="preserve"> de Setembro, Centro, Mutunópolis/GO.</w:t>
      </w:r>
    </w:p>
    <w:p w:rsidR="007A4777" w:rsidRPr="007A4777" w:rsidRDefault="007A4777" w:rsidP="007A4777">
      <w:pPr>
        <w:spacing w:line="360" w:lineRule="auto"/>
        <w:rPr>
          <w:rFonts w:ascii="Rawline" w:hAnsi="Rawline"/>
          <w:color w:val="auto"/>
          <w:sz w:val="22"/>
        </w:rPr>
      </w:pPr>
      <w:r w:rsidRPr="007A4777">
        <w:rPr>
          <w:rFonts w:ascii="Rawline" w:hAnsi="Rawline"/>
          <w:color w:val="auto"/>
          <w:sz w:val="22"/>
        </w:rPr>
        <w:t>Os demais requisitos e condições para inscrição permanecem inalterados, conforme disposto no Edital nº 001/2025.</w:t>
      </w:r>
    </w:p>
    <w:p w:rsidR="007A4777" w:rsidRDefault="007A4777" w:rsidP="007A4777">
      <w:pPr>
        <w:pStyle w:val="Ttulo2"/>
        <w:rPr>
          <w:rFonts w:ascii="Rawline" w:hAnsi="Rawline"/>
          <w:color w:val="auto"/>
          <w:sz w:val="22"/>
          <w:szCs w:val="22"/>
          <w:u w:val="single"/>
        </w:rPr>
      </w:pPr>
      <w:r w:rsidRPr="007A4777">
        <w:rPr>
          <w:rFonts w:ascii="Rawline" w:hAnsi="Rawline"/>
          <w:color w:val="auto"/>
          <w:sz w:val="22"/>
          <w:szCs w:val="22"/>
          <w:u w:val="single"/>
        </w:rPr>
        <w:t>2. DA ALTERAÇÃO DO CRONOGRAMA</w:t>
      </w:r>
    </w:p>
    <w:p w:rsidR="007A4777" w:rsidRPr="007A4777" w:rsidRDefault="007A4777" w:rsidP="007A4777">
      <w:pPr>
        <w:rPr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Etapa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Data Anterior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Nova Data</w:t>
            </w:r>
          </w:p>
        </w:tc>
      </w:tr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Publicação do Edital nº 002/2025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—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06/10/2025</w:t>
            </w:r>
          </w:p>
        </w:tc>
      </w:tr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Período de Inscrição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06/10/2025 a 07/11/2025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06/10/2025 a 28/11/2025</w:t>
            </w:r>
          </w:p>
        </w:tc>
      </w:tr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Prazo de Impugnação de Candidatura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10/11/2025 a 11/11/2025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01/12/2025 a 02/12/2025</w:t>
            </w:r>
          </w:p>
        </w:tc>
      </w:tr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Análise dos Pedidos de Registro de Candidaturas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12/11/2025 a 13/11/2025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03/12/2025 a 04/12/2025</w:t>
            </w:r>
          </w:p>
        </w:tc>
      </w:tr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Notificação dos Candidatos Impugnados para Defesa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17/11/2025 a 18/11/2025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08/12/2025 a 09/12/2025</w:t>
            </w:r>
          </w:p>
        </w:tc>
      </w:tr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lastRenderedPageBreak/>
              <w:t>Publicação da Decisão dos Pedidos de Impugnação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24/11/2025</w:t>
            </w:r>
          </w:p>
        </w:tc>
        <w:tc>
          <w:tcPr>
            <w:tcW w:w="2880" w:type="dxa"/>
          </w:tcPr>
          <w:p w:rsidR="007A4777" w:rsidRPr="007A4777" w:rsidRDefault="007A4777" w:rsidP="007A4777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1</w:t>
            </w:r>
            <w:r>
              <w:rPr>
                <w:rFonts w:ascii="Rawline" w:hAnsi="Rawline"/>
                <w:b/>
                <w:color w:val="auto"/>
                <w:sz w:val="19"/>
                <w:szCs w:val="19"/>
              </w:rPr>
              <w:t>2</w:t>
            </w: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/12/2025</w:t>
            </w:r>
          </w:p>
        </w:tc>
      </w:tr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Publicação dos Candidatos com Inscrição Deferida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28/11/2025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17/12/2025</w:t>
            </w:r>
          </w:p>
        </w:tc>
      </w:tr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Prova Objetiva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30/11/2025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21/12/2025</w:t>
            </w:r>
          </w:p>
        </w:tc>
      </w:tr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Divulgação dos Candidatos Habilitados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02/12/2025</w:t>
            </w:r>
          </w:p>
        </w:tc>
        <w:tc>
          <w:tcPr>
            <w:tcW w:w="2880" w:type="dxa"/>
          </w:tcPr>
          <w:p w:rsidR="007A4777" w:rsidRPr="007A4777" w:rsidRDefault="007A4777" w:rsidP="007A4777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2</w:t>
            </w:r>
            <w:r>
              <w:rPr>
                <w:rFonts w:ascii="Rawline" w:hAnsi="Rawline"/>
                <w:b/>
                <w:color w:val="auto"/>
                <w:sz w:val="19"/>
                <w:szCs w:val="19"/>
              </w:rPr>
              <w:t>4</w:t>
            </w: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/12/2025</w:t>
            </w:r>
          </w:p>
        </w:tc>
      </w:tr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Período de Campanha Eleitoral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08/12/2025 a 08/01/2026</w:t>
            </w:r>
          </w:p>
        </w:tc>
        <w:tc>
          <w:tcPr>
            <w:tcW w:w="2880" w:type="dxa"/>
          </w:tcPr>
          <w:p w:rsidR="007A4777" w:rsidRPr="007A4777" w:rsidRDefault="007A4777" w:rsidP="007A4777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 xml:space="preserve">26/12/2025 a </w:t>
            </w: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2</w:t>
            </w:r>
            <w:r>
              <w:rPr>
                <w:rFonts w:ascii="Rawline" w:hAnsi="Rawline"/>
                <w:b/>
                <w:color w:val="auto"/>
                <w:sz w:val="19"/>
                <w:szCs w:val="19"/>
              </w:rPr>
              <w:t>3</w:t>
            </w: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/01/2026</w:t>
            </w:r>
          </w:p>
        </w:tc>
      </w:tr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 xml:space="preserve">Eleição (Escola Municipal Irmã Francisca </w:t>
            </w:r>
            <w:proofErr w:type="spellStart"/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Mariosa</w:t>
            </w:r>
            <w:proofErr w:type="spellEnd"/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)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11/01/2026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25/01/2026</w:t>
            </w:r>
          </w:p>
        </w:tc>
      </w:tr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Divulgação do Resultado da Eleição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11/01/2026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25/01/2026</w:t>
            </w:r>
          </w:p>
        </w:tc>
      </w:tr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Interposição de Recurso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12/01/2026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26/01/2026</w:t>
            </w:r>
          </w:p>
        </w:tc>
      </w:tr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Análise e Julgamento dos Recursos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13/01/2026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27/01/2026</w:t>
            </w:r>
          </w:p>
        </w:tc>
      </w:tr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Resultado Final e Publicação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14/01/2026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28/01/2026</w:t>
            </w:r>
          </w:p>
        </w:tc>
      </w:tr>
      <w:tr w:rsidR="007A4777" w:rsidRPr="007A4777" w:rsidTr="00BB3BDB"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Cerimônia de Posse dos Eleitos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color w:val="auto"/>
                <w:sz w:val="19"/>
                <w:szCs w:val="19"/>
              </w:rPr>
              <w:t>19/01/2026</w:t>
            </w:r>
          </w:p>
        </w:tc>
        <w:tc>
          <w:tcPr>
            <w:tcW w:w="2880" w:type="dxa"/>
          </w:tcPr>
          <w:p w:rsidR="007A4777" w:rsidRPr="007A4777" w:rsidRDefault="007A4777" w:rsidP="00BB3BDB">
            <w:pPr>
              <w:rPr>
                <w:rFonts w:ascii="Rawline" w:hAnsi="Rawline"/>
                <w:b/>
                <w:color w:val="auto"/>
                <w:sz w:val="19"/>
                <w:szCs w:val="19"/>
              </w:rPr>
            </w:pPr>
            <w:r w:rsidRPr="007A4777">
              <w:rPr>
                <w:rFonts w:ascii="Rawline" w:hAnsi="Rawline"/>
                <w:b/>
                <w:color w:val="auto"/>
                <w:sz w:val="19"/>
                <w:szCs w:val="19"/>
              </w:rPr>
              <w:t>03/02/2026</w:t>
            </w:r>
          </w:p>
        </w:tc>
      </w:tr>
    </w:tbl>
    <w:p w:rsidR="007A4777" w:rsidRPr="007A4777" w:rsidRDefault="007A4777" w:rsidP="007A4777">
      <w:pPr>
        <w:spacing w:line="360" w:lineRule="auto"/>
        <w:rPr>
          <w:rFonts w:ascii="Rawline" w:hAnsi="Rawline"/>
          <w:b/>
          <w:color w:val="auto"/>
          <w:sz w:val="22"/>
          <w:u w:val="single"/>
        </w:rPr>
      </w:pPr>
      <w:r>
        <w:rPr>
          <w:rFonts w:ascii="Rawline" w:hAnsi="Rawline"/>
          <w:color w:val="auto"/>
          <w:sz w:val="22"/>
        </w:rPr>
        <w:br/>
      </w:r>
      <w:r w:rsidRPr="007A4777">
        <w:rPr>
          <w:rFonts w:ascii="Rawline" w:hAnsi="Rawline"/>
          <w:b/>
          <w:color w:val="auto"/>
          <w:sz w:val="22"/>
          <w:u w:val="single"/>
        </w:rPr>
        <w:t>3. DAS DEMAIS DISPOSIÇÕES</w:t>
      </w:r>
    </w:p>
    <w:p w:rsidR="007A4777" w:rsidRDefault="007A4777" w:rsidP="007A4777">
      <w:pPr>
        <w:spacing w:line="360" w:lineRule="auto"/>
        <w:rPr>
          <w:rFonts w:ascii="Rawline" w:hAnsi="Rawline"/>
          <w:color w:val="auto"/>
          <w:sz w:val="22"/>
        </w:rPr>
      </w:pPr>
      <w:r w:rsidRPr="007A4777">
        <w:rPr>
          <w:rFonts w:ascii="Rawline" w:hAnsi="Rawline"/>
          <w:color w:val="auto"/>
          <w:sz w:val="22"/>
        </w:rPr>
        <w:t>Permanecem inalteradas as demais condições, regras, exigências e disposições constantes do Edital nº 001/2025.</w:t>
      </w:r>
    </w:p>
    <w:p w:rsidR="007A4777" w:rsidRDefault="007A4777" w:rsidP="007A4777">
      <w:pPr>
        <w:spacing w:line="360" w:lineRule="auto"/>
        <w:rPr>
          <w:rFonts w:ascii="Rawline" w:hAnsi="Rawline"/>
          <w:color w:val="auto"/>
          <w:sz w:val="22"/>
        </w:rPr>
      </w:pPr>
    </w:p>
    <w:p w:rsidR="007A4777" w:rsidRPr="007A4777" w:rsidRDefault="007A4777" w:rsidP="007A4777">
      <w:pPr>
        <w:spacing w:line="360" w:lineRule="auto"/>
        <w:jc w:val="right"/>
        <w:rPr>
          <w:rFonts w:ascii="Rawline" w:hAnsi="Rawline"/>
          <w:b/>
          <w:color w:val="auto"/>
          <w:sz w:val="22"/>
        </w:rPr>
      </w:pPr>
      <w:r w:rsidRPr="007A4777">
        <w:rPr>
          <w:rFonts w:ascii="Rawline" w:hAnsi="Rawline"/>
          <w:b/>
          <w:color w:val="auto"/>
          <w:sz w:val="22"/>
        </w:rPr>
        <w:t>Mutunóp</w:t>
      </w:r>
      <w:r w:rsidRPr="007A4777">
        <w:rPr>
          <w:rFonts w:ascii="Rawline" w:hAnsi="Rawline"/>
          <w:b/>
          <w:color w:val="auto"/>
          <w:sz w:val="22"/>
        </w:rPr>
        <w:t xml:space="preserve">olis/GO, </w:t>
      </w:r>
      <w:r>
        <w:rPr>
          <w:rFonts w:ascii="Rawline" w:hAnsi="Rawline"/>
          <w:b/>
          <w:color w:val="auto"/>
          <w:sz w:val="22"/>
        </w:rPr>
        <w:t>10</w:t>
      </w:r>
      <w:r w:rsidRPr="007A4777">
        <w:rPr>
          <w:rFonts w:ascii="Rawline" w:hAnsi="Rawline"/>
          <w:b/>
          <w:color w:val="auto"/>
          <w:sz w:val="22"/>
        </w:rPr>
        <w:t xml:space="preserve"> de </w:t>
      </w:r>
      <w:r>
        <w:rPr>
          <w:rFonts w:ascii="Rawline" w:hAnsi="Rawline"/>
          <w:b/>
          <w:color w:val="auto"/>
          <w:sz w:val="22"/>
        </w:rPr>
        <w:t>novembro</w:t>
      </w:r>
      <w:r w:rsidRPr="007A4777">
        <w:rPr>
          <w:rFonts w:ascii="Rawline" w:hAnsi="Rawline"/>
          <w:b/>
          <w:color w:val="auto"/>
          <w:sz w:val="22"/>
        </w:rPr>
        <w:t xml:space="preserve"> de 2025.</w:t>
      </w:r>
    </w:p>
    <w:p w:rsidR="007A4777" w:rsidRDefault="007A4777" w:rsidP="007A4777">
      <w:pPr>
        <w:spacing w:line="360" w:lineRule="auto"/>
        <w:jc w:val="center"/>
        <w:rPr>
          <w:rFonts w:ascii="Rawline" w:hAnsi="Rawline"/>
          <w:color w:val="auto"/>
          <w:sz w:val="22"/>
        </w:rPr>
      </w:pPr>
    </w:p>
    <w:p w:rsidR="007A4777" w:rsidRDefault="007A4777" w:rsidP="007A4777">
      <w:pPr>
        <w:spacing w:line="360" w:lineRule="auto"/>
        <w:jc w:val="center"/>
        <w:rPr>
          <w:rFonts w:ascii="Rawline" w:hAnsi="Rawline"/>
          <w:color w:val="auto"/>
          <w:sz w:val="22"/>
        </w:rPr>
      </w:pPr>
    </w:p>
    <w:p w:rsidR="007A4777" w:rsidRDefault="007A4777" w:rsidP="007A4777">
      <w:pPr>
        <w:spacing w:line="360" w:lineRule="auto"/>
        <w:jc w:val="center"/>
        <w:rPr>
          <w:rFonts w:ascii="Rawline" w:hAnsi="Rawline"/>
          <w:color w:val="auto"/>
          <w:sz w:val="22"/>
        </w:rPr>
      </w:pPr>
      <w:r>
        <w:rPr>
          <w:rFonts w:ascii="Rawline" w:hAnsi="Rawline"/>
          <w:color w:val="auto"/>
          <w:sz w:val="22"/>
        </w:rPr>
        <w:t>_________________________________________</w:t>
      </w:r>
    </w:p>
    <w:p w:rsidR="007A4777" w:rsidRPr="007A4777" w:rsidRDefault="007A4777" w:rsidP="007A4777">
      <w:pPr>
        <w:spacing w:line="360" w:lineRule="auto"/>
        <w:jc w:val="center"/>
        <w:rPr>
          <w:rFonts w:ascii="Rawline" w:hAnsi="Rawline"/>
          <w:b/>
          <w:color w:val="auto"/>
          <w:sz w:val="22"/>
        </w:rPr>
      </w:pPr>
      <w:r w:rsidRPr="007A4777">
        <w:rPr>
          <w:rFonts w:ascii="Rawline" w:hAnsi="Rawline"/>
          <w:b/>
          <w:color w:val="auto"/>
          <w:sz w:val="22"/>
        </w:rPr>
        <w:t>CARLA OLIVEIRA DE SOUZA</w:t>
      </w:r>
      <w:r w:rsidRPr="007A4777">
        <w:rPr>
          <w:rFonts w:ascii="Rawline" w:hAnsi="Rawline"/>
          <w:b/>
          <w:color w:val="auto"/>
          <w:sz w:val="22"/>
        </w:rPr>
        <w:br/>
        <w:t>Presidente do CMDCA</w:t>
      </w:r>
      <w:r w:rsidRPr="007A4777">
        <w:rPr>
          <w:rFonts w:ascii="Rawline" w:hAnsi="Rawline"/>
          <w:b/>
          <w:color w:val="auto"/>
          <w:sz w:val="22"/>
        </w:rPr>
        <w:br/>
      </w:r>
    </w:p>
    <w:p w:rsidR="00646A15" w:rsidRPr="007A4777" w:rsidRDefault="00646A15" w:rsidP="007A4777">
      <w:pPr>
        <w:spacing w:after="184" w:line="247" w:lineRule="auto"/>
        <w:ind w:left="0" w:right="2" w:firstLine="0"/>
        <w:jc w:val="left"/>
        <w:rPr>
          <w:rFonts w:ascii="Rawline" w:hAnsi="Rawline"/>
          <w:color w:val="auto"/>
          <w:sz w:val="22"/>
        </w:rPr>
      </w:pPr>
    </w:p>
    <w:p w:rsidR="00646A15" w:rsidRPr="007A4777" w:rsidRDefault="00646A15" w:rsidP="001E28BC">
      <w:pPr>
        <w:spacing w:after="184" w:line="247" w:lineRule="auto"/>
        <w:ind w:left="0" w:right="2" w:firstLine="0"/>
        <w:jc w:val="left"/>
        <w:rPr>
          <w:rFonts w:ascii="Rawline" w:hAnsi="Rawline"/>
          <w:color w:val="auto"/>
          <w:sz w:val="22"/>
        </w:rPr>
      </w:pPr>
      <w:bookmarkStart w:id="0" w:name="_GoBack"/>
      <w:bookmarkEnd w:id="0"/>
    </w:p>
    <w:sectPr w:rsidR="00646A15" w:rsidRPr="007A4777">
      <w:headerReference w:type="default" r:id="rId9"/>
      <w:footerReference w:type="default" r:id="rId10"/>
      <w:pgSz w:w="11906" w:h="16838"/>
      <w:pgMar w:top="1848" w:right="1131" w:bottom="660" w:left="1419" w:header="200" w:footer="45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0C" w:rsidRDefault="00405B0C">
      <w:pPr>
        <w:spacing w:after="0" w:line="240" w:lineRule="auto"/>
      </w:pPr>
      <w:r>
        <w:separator/>
      </w:r>
    </w:p>
  </w:endnote>
  <w:endnote w:type="continuationSeparator" w:id="0">
    <w:p w:rsidR="00405B0C" w:rsidRDefault="0040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Rawline">
    <w:panose1 w:val="00000500000000000000"/>
    <w:charset w:val="00"/>
    <w:family w:val="auto"/>
    <w:pitch w:val="variable"/>
    <w:sig w:usb0="20000207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78" w:rsidRDefault="00025078">
    <w:pPr>
      <w:spacing w:after="0" w:line="259" w:lineRule="auto"/>
      <w:ind w:left="0" w:right="2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0C" w:rsidRDefault="00405B0C">
      <w:pPr>
        <w:spacing w:after="0" w:line="240" w:lineRule="auto"/>
      </w:pPr>
      <w:r>
        <w:separator/>
      </w:r>
    </w:p>
  </w:footnote>
  <w:footnote w:type="continuationSeparator" w:id="0">
    <w:p w:rsidR="00405B0C" w:rsidRDefault="0040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78" w:rsidRDefault="006D2084" w:rsidP="006D2084">
    <w:pPr>
      <w:spacing w:after="0" w:line="259" w:lineRule="auto"/>
      <w:ind w:left="750" w:firstLine="0"/>
      <w:jc w:val="left"/>
    </w:pPr>
    <w:r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4D2F2FCD" wp14:editId="2649B280">
          <wp:simplePos x="0" y="0"/>
          <wp:positionH relativeFrom="column">
            <wp:posOffset>1341120</wp:posOffset>
          </wp:positionH>
          <wp:positionV relativeFrom="paragraph">
            <wp:posOffset>266065</wp:posOffset>
          </wp:positionV>
          <wp:extent cx="4953000" cy="624840"/>
          <wp:effectExtent l="0" t="0" r="0" b="3810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3120FF5C" wp14:editId="59F135A0">
          <wp:simplePos x="0" y="0"/>
          <wp:positionH relativeFrom="column">
            <wp:posOffset>-228600</wp:posOffset>
          </wp:positionH>
          <wp:positionV relativeFrom="paragraph">
            <wp:posOffset>6985</wp:posOffset>
          </wp:positionV>
          <wp:extent cx="1607820" cy="1088051"/>
          <wp:effectExtent l="0" t="0" r="0" b="0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1088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38A8">
      <w:rPr>
        <w:rFonts w:ascii="Calibri" w:eastAsia="Calibri" w:hAnsi="Calibri" w:cs="Calibri"/>
        <w:b/>
        <w:sz w:val="20"/>
      </w:rPr>
      <w:t xml:space="preserve"> </w:t>
    </w:r>
    <w:r>
      <w:rPr>
        <w:rFonts w:ascii="Calibri" w:eastAsia="Calibri" w:hAnsi="Calibri" w:cs="Calibri"/>
        <w:b/>
        <w:sz w:val="20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BC1"/>
    <w:multiLevelType w:val="hybridMultilevel"/>
    <w:tmpl w:val="C93EE0B4"/>
    <w:lvl w:ilvl="0" w:tplc="9970D40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3050"/>
    <w:multiLevelType w:val="hybridMultilevel"/>
    <w:tmpl w:val="2DC07E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37FE4"/>
    <w:multiLevelType w:val="hybridMultilevel"/>
    <w:tmpl w:val="5C9681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69DD"/>
    <w:multiLevelType w:val="hybridMultilevel"/>
    <w:tmpl w:val="1D802A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A3AFA"/>
    <w:multiLevelType w:val="hybridMultilevel"/>
    <w:tmpl w:val="8676D62A"/>
    <w:lvl w:ilvl="0" w:tplc="BC42B0F8">
      <w:start w:val="12"/>
      <w:numFmt w:val="upperRoman"/>
      <w:lvlText w:val="%1."/>
      <w:lvlJc w:val="left"/>
      <w:pPr>
        <w:ind w:left="1913" w:hanging="720"/>
      </w:pPr>
      <w:rPr>
        <w:rFonts w:eastAsia="Times New Roman" w:hint="default"/>
      </w:rPr>
    </w:lvl>
    <w:lvl w:ilvl="1" w:tplc="04160019">
      <w:start w:val="1"/>
      <w:numFmt w:val="lowerLetter"/>
      <w:lvlText w:val="%2."/>
      <w:lvlJc w:val="left"/>
      <w:pPr>
        <w:ind w:left="2273" w:hanging="360"/>
      </w:pPr>
    </w:lvl>
    <w:lvl w:ilvl="2" w:tplc="0416001B">
      <w:start w:val="1"/>
      <w:numFmt w:val="lowerRoman"/>
      <w:lvlText w:val="%3."/>
      <w:lvlJc w:val="right"/>
      <w:pPr>
        <w:ind w:left="2993" w:hanging="180"/>
      </w:pPr>
    </w:lvl>
    <w:lvl w:ilvl="3" w:tplc="0416000F" w:tentative="1">
      <w:start w:val="1"/>
      <w:numFmt w:val="decimal"/>
      <w:lvlText w:val="%4."/>
      <w:lvlJc w:val="left"/>
      <w:pPr>
        <w:ind w:left="3713" w:hanging="360"/>
      </w:pPr>
    </w:lvl>
    <w:lvl w:ilvl="4" w:tplc="04160019" w:tentative="1">
      <w:start w:val="1"/>
      <w:numFmt w:val="lowerLetter"/>
      <w:lvlText w:val="%5."/>
      <w:lvlJc w:val="left"/>
      <w:pPr>
        <w:ind w:left="4433" w:hanging="360"/>
      </w:pPr>
    </w:lvl>
    <w:lvl w:ilvl="5" w:tplc="0416001B" w:tentative="1">
      <w:start w:val="1"/>
      <w:numFmt w:val="lowerRoman"/>
      <w:lvlText w:val="%6."/>
      <w:lvlJc w:val="right"/>
      <w:pPr>
        <w:ind w:left="5153" w:hanging="180"/>
      </w:pPr>
    </w:lvl>
    <w:lvl w:ilvl="6" w:tplc="0416000F" w:tentative="1">
      <w:start w:val="1"/>
      <w:numFmt w:val="decimal"/>
      <w:lvlText w:val="%7."/>
      <w:lvlJc w:val="left"/>
      <w:pPr>
        <w:ind w:left="5873" w:hanging="360"/>
      </w:pPr>
    </w:lvl>
    <w:lvl w:ilvl="7" w:tplc="04160019" w:tentative="1">
      <w:start w:val="1"/>
      <w:numFmt w:val="lowerLetter"/>
      <w:lvlText w:val="%8."/>
      <w:lvlJc w:val="left"/>
      <w:pPr>
        <w:ind w:left="6593" w:hanging="360"/>
      </w:pPr>
    </w:lvl>
    <w:lvl w:ilvl="8" w:tplc="0416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5">
    <w:nsid w:val="37AE5629"/>
    <w:multiLevelType w:val="multilevel"/>
    <w:tmpl w:val="74CE630A"/>
    <w:lvl w:ilvl="0">
      <w:start w:val="3"/>
      <w:numFmt w:val="decimal"/>
      <w:lvlText w:val="%1"/>
      <w:lvlJc w:val="left"/>
      <w:pPr>
        <w:ind w:left="591" w:hanging="37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9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93" w:hanging="483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9" w:hanging="360"/>
      </w:pPr>
      <w:rPr>
        <w:rFonts w:hint="default"/>
        <w:lang w:val="pt-PT" w:eastAsia="en-US" w:bidi="ar-SA"/>
      </w:rPr>
    </w:lvl>
  </w:abstractNum>
  <w:abstractNum w:abstractNumId="6">
    <w:nsid w:val="477C1774"/>
    <w:multiLevelType w:val="hybridMultilevel"/>
    <w:tmpl w:val="04A0C0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78"/>
    <w:rsid w:val="000021CC"/>
    <w:rsid w:val="00015C52"/>
    <w:rsid w:val="00025078"/>
    <w:rsid w:val="0003107E"/>
    <w:rsid w:val="00037A22"/>
    <w:rsid w:val="00042F07"/>
    <w:rsid w:val="00056580"/>
    <w:rsid w:val="00086D84"/>
    <w:rsid w:val="000B15CF"/>
    <w:rsid w:val="000B272E"/>
    <w:rsid w:val="00102004"/>
    <w:rsid w:val="00107A8F"/>
    <w:rsid w:val="00125301"/>
    <w:rsid w:val="001A3B50"/>
    <w:rsid w:val="001A5FC3"/>
    <w:rsid w:val="001B2042"/>
    <w:rsid w:val="001B6FD4"/>
    <w:rsid w:val="001E28BC"/>
    <w:rsid w:val="00225429"/>
    <w:rsid w:val="00271659"/>
    <w:rsid w:val="00293AA1"/>
    <w:rsid w:val="00303696"/>
    <w:rsid w:val="00306E65"/>
    <w:rsid w:val="003077F8"/>
    <w:rsid w:val="003A0D7B"/>
    <w:rsid w:val="003A3FBF"/>
    <w:rsid w:val="003E7102"/>
    <w:rsid w:val="00401D1D"/>
    <w:rsid w:val="00405B0C"/>
    <w:rsid w:val="004113B4"/>
    <w:rsid w:val="004126C1"/>
    <w:rsid w:val="004565EB"/>
    <w:rsid w:val="004A17AF"/>
    <w:rsid w:val="004C2A91"/>
    <w:rsid w:val="004D2681"/>
    <w:rsid w:val="00521C20"/>
    <w:rsid w:val="00547EB1"/>
    <w:rsid w:val="0058257A"/>
    <w:rsid w:val="005B2772"/>
    <w:rsid w:val="005C0300"/>
    <w:rsid w:val="005D0956"/>
    <w:rsid w:val="005D46D7"/>
    <w:rsid w:val="005D7CB2"/>
    <w:rsid w:val="00646A15"/>
    <w:rsid w:val="006D2084"/>
    <w:rsid w:val="006E3166"/>
    <w:rsid w:val="007102A0"/>
    <w:rsid w:val="00772AAC"/>
    <w:rsid w:val="00795A6E"/>
    <w:rsid w:val="007A4777"/>
    <w:rsid w:val="007B788B"/>
    <w:rsid w:val="007C5705"/>
    <w:rsid w:val="007D2EE6"/>
    <w:rsid w:val="007D748B"/>
    <w:rsid w:val="007F286A"/>
    <w:rsid w:val="00804E22"/>
    <w:rsid w:val="00807B7C"/>
    <w:rsid w:val="00861285"/>
    <w:rsid w:val="008A3D4E"/>
    <w:rsid w:val="008B1B8C"/>
    <w:rsid w:val="008B2FF1"/>
    <w:rsid w:val="008C3BFD"/>
    <w:rsid w:val="009074A1"/>
    <w:rsid w:val="00947BE4"/>
    <w:rsid w:val="009616FD"/>
    <w:rsid w:val="009811F2"/>
    <w:rsid w:val="009835B6"/>
    <w:rsid w:val="009E0DE1"/>
    <w:rsid w:val="00A02831"/>
    <w:rsid w:val="00A22940"/>
    <w:rsid w:val="00A550CD"/>
    <w:rsid w:val="00A937B1"/>
    <w:rsid w:val="00A9632D"/>
    <w:rsid w:val="00AD0D2A"/>
    <w:rsid w:val="00AF5744"/>
    <w:rsid w:val="00B70528"/>
    <w:rsid w:val="00BA54C9"/>
    <w:rsid w:val="00BA58FD"/>
    <w:rsid w:val="00BC10E9"/>
    <w:rsid w:val="00BE20C1"/>
    <w:rsid w:val="00C0000C"/>
    <w:rsid w:val="00C429D4"/>
    <w:rsid w:val="00C62EFD"/>
    <w:rsid w:val="00C72A38"/>
    <w:rsid w:val="00CD57E6"/>
    <w:rsid w:val="00CF3901"/>
    <w:rsid w:val="00D01C3D"/>
    <w:rsid w:val="00D8053E"/>
    <w:rsid w:val="00DD2ADE"/>
    <w:rsid w:val="00DF5100"/>
    <w:rsid w:val="00E04BA7"/>
    <w:rsid w:val="00E64ED0"/>
    <w:rsid w:val="00E72757"/>
    <w:rsid w:val="00EB1C2B"/>
    <w:rsid w:val="00EB4FA0"/>
    <w:rsid w:val="00ED38A8"/>
    <w:rsid w:val="00EF290B"/>
    <w:rsid w:val="00F27418"/>
    <w:rsid w:val="00F36666"/>
    <w:rsid w:val="00F40615"/>
    <w:rsid w:val="00F81491"/>
    <w:rsid w:val="00F83D3B"/>
    <w:rsid w:val="00F951E3"/>
    <w:rsid w:val="00F9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7F"/>
    <w:pPr>
      <w:spacing w:after="129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FF5E7F"/>
    <w:pPr>
      <w:keepNext/>
      <w:keepLines/>
      <w:spacing w:after="133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4777"/>
    <w:pPr>
      <w:keepNext/>
      <w:keepLines/>
      <w:suppressAutoHyphens w:val="0"/>
      <w:spacing w:before="200" w:after="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F5E7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F5E7F"/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FF5E7F"/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footnotedescriptionChar">
    <w:name w:val="footnote description Char"/>
    <w:qFormat/>
    <w:rsid w:val="00FF5E7F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qFormat/>
    <w:rsid w:val="00FF5E7F"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721D2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F5E7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F5E7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notedescription">
    <w:name w:val="footnote description"/>
    <w:next w:val="Normal"/>
    <w:qFormat/>
    <w:rsid w:val="00FF5E7F"/>
    <w:pPr>
      <w:spacing w:line="259" w:lineRule="auto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paragraph" w:styleId="PargrafodaLista">
    <w:name w:val="List Paragraph"/>
    <w:basedOn w:val="Normal"/>
    <w:uiPriority w:val="34"/>
    <w:qFormat/>
    <w:rsid w:val="00FF7B8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721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82C60"/>
    <w:pPr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customStyle="1" w:styleId="TableGrid">
    <w:name w:val="TableGrid"/>
    <w:rsid w:val="00FF5E7F"/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2084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429D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2294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7A477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7F"/>
    <w:pPr>
      <w:spacing w:after="129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FF5E7F"/>
    <w:pPr>
      <w:keepNext/>
      <w:keepLines/>
      <w:spacing w:after="133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4777"/>
    <w:pPr>
      <w:keepNext/>
      <w:keepLines/>
      <w:suppressAutoHyphens w:val="0"/>
      <w:spacing w:before="200" w:after="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F5E7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F5E7F"/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FF5E7F"/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footnotedescriptionChar">
    <w:name w:val="footnote description Char"/>
    <w:qFormat/>
    <w:rsid w:val="00FF5E7F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qFormat/>
    <w:rsid w:val="00FF5E7F"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721D2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F5E7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F5E7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notedescription">
    <w:name w:val="footnote description"/>
    <w:next w:val="Normal"/>
    <w:qFormat/>
    <w:rsid w:val="00FF5E7F"/>
    <w:pPr>
      <w:spacing w:line="259" w:lineRule="auto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paragraph" w:styleId="PargrafodaLista">
    <w:name w:val="List Paragraph"/>
    <w:basedOn w:val="Normal"/>
    <w:uiPriority w:val="34"/>
    <w:qFormat/>
    <w:rsid w:val="00FF7B8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721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82C60"/>
    <w:pPr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customStyle="1" w:styleId="TableGrid">
    <w:name w:val="TableGrid"/>
    <w:rsid w:val="00FF5E7F"/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2084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429D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2294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7A477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F003-87C6-4CB3-9C47-4A040443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Toledo Tecnologia e Sistemas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</dc:creator>
  <cp:lastModifiedBy>Prefeitura Municipal de Mutunopolis</cp:lastModifiedBy>
  <cp:revision>9</cp:revision>
  <cp:lastPrinted>2025-11-13T18:24:00Z</cp:lastPrinted>
  <dcterms:created xsi:type="dcterms:W3CDTF">2025-10-01T17:44:00Z</dcterms:created>
  <dcterms:modified xsi:type="dcterms:W3CDTF">2025-11-13T18:25:00Z</dcterms:modified>
  <dc:language>pt-BR</dc:language>
</cp:coreProperties>
</file>